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0626" w14:textId="77777777" w:rsidR="000876D9" w:rsidRPr="000876D9" w:rsidRDefault="000876D9" w:rsidP="000876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76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Freshwater &amp; Nitrate Policy Comparison: Labour vs Current Coalition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3379"/>
        <w:gridCol w:w="3596"/>
      </w:tblGrid>
      <w:tr w:rsidR="000876D9" w:rsidRPr="000876D9" w14:paraId="58C781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0CACE7" w14:textId="77777777" w:rsidR="000876D9" w:rsidRPr="000876D9" w:rsidRDefault="000876D9" w:rsidP="0008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Policy Area</w:t>
            </w:r>
          </w:p>
        </w:tc>
        <w:tc>
          <w:tcPr>
            <w:tcW w:w="0" w:type="auto"/>
            <w:vAlign w:val="center"/>
            <w:hideMark/>
          </w:tcPr>
          <w:p w14:paraId="6C521699" w14:textId="77777777" w:rsidR="000876D9" w:rsidRPr="000876D9" w:rsidRDefault="000876D9" w:rsidP="0008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Labour Government (2017–2023)</w:t>
            </w:r>
          </w:p>
        </w:tc>
        <w:tc>
          <w:tcPr>
            <w:tcW w:w="0" w:type="auto"/>
            <w:vAlign w:val="center"/>
            <w:hideMark/>
          </w:tcPr>
          <w:p w14:paraId="2439CF04" w14:textId="77777777" w:rsidR="000876D9" w:rsidRPr="000876D9" w:rsidRDefault="000876D9" w:rsidP="0008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National–ACT–NZ First Coalition (since 2023)</w:t>
            </w:r>
          </w:p>
        </w:tc>
      </w:tr>
      <w:tr w:rsidR="000876D9" w:rsidRPr="000876D9" w14:paraId="29003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D1C8B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Core freshwater framework</w:t>
            </w:r>
          </w:p>
        </w:tc>
        <w:tc>
          <w:tcPr>
            <w:tcW w:w="0" w:type="auto"/>
            <w:vAlign w:val="center"/>
            <w:hideMark/>
          </w:tcPr>
          <w:p w14:paraId="09FCFA8F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National Policy Statement for Freshwater Management 2020 (NPS-FM)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implemented nationally</w:t>
            </w:r>
          </w:p>
        </w:tc>
        <w:tc>
          <w:tcPr>
            <w:tcW w:w="0" w:type="auto"/>
            <w:vAlign w:val="center"/>
            <w:hideMark/>
          </w:tcPr>
          <w:p w14:paraId="4924EF61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NPS-FM under review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with intent to repeal or substantially replace</w:t>
            </w:r>
          </w:p>
        </w:tc>
      </w:tr>
      <w:tr w:rsidR="000876D9" w:rsidRPr="000876D9" w14:paraId="12D93F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7D05D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Decision-making principle</w:t>
            </w:r>
          </w:p>
        </w:tc>
        <w:tc>
          <w:tcPr>
            <w:tcW w:w="0" w:type="auto"/>
            <w:vAlign w:val="center"/>
            <w:hideMark/>
          </w:tcPr>
          <w:p w14:paraId="2ED139C8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 Mana o te Wai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legally embedded: ecosystem health → drinking water → economic use</w:t>
            </w:r>
          </w:p>
        </w:tc>
        <w:tc>
          <w:tcPr>
            <w:tcW w:w="0" w:type="auto"/>
            <w:vAlign w:val="center"/>
            <w:hideMark/>
          </w:tcPr>
          <w:p w14:paraId="2BA277C3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 Mana o te Wai removed from consenting direction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downgraded while replacement regime developed</w:t>
            </w:r>
          </w:p>
        </w:tc>
      </w:tr>
      <w:tr w:rsidR="000876D9" w:rsidRPr="000876D9" w14:paraId="11C3C7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7D58D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Nitrate standard – headline claim</w:t>
            </w:r>
          </w:p>
        </w:tc>
        <w:tc>
          <w:tcPr>
            <w:tcW w:w="0" w:type="auto"/>
            <w:vAlign w:val="center"/>
            <w:hideMark/>
          </w:tcPr>
          <w:p w14:paraId="17484E81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single numeric “cap” (often misrepresented as 2.5 or 4 mg/L)</w:t>
            </w:r>
          </w:p>
        </w:tc>
        <w:tc>
          <w:tcPr>
            <w:tcW w:w="0" w:type="auto"/>
            <w:vAlign w:val="center"/>
            <w:hideMark/>
          </w:tcPr>
          <w:p w14:paraId="4BF85AE4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 rhetoric focuses on “practicality” and cost; no commitment to numeric ecological limits</w:t>
            </w:r>
          </w:p>
        </w:tc>
      </w:tr>
      <w:tr w:rsidR="000876D9" w:rsidRPr="000876D9" w14:paraId="4B5529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ED337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Nitrate standard – legal reality</w:t>
            </w:r>
          </w:p>
        </w:tc>
        <w:tc>
          <w:tcPr>
            <w:tcW w:w="0" w:type="auto"/>
            <w:vAlign w:val="center"/>
            <w:hideMark/>
          </w:tcPr>
          <w:p w14:paraId="19B9A1FA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Attribute bands for Dissolved Inorganic Nitrogen (DIN)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rivers</w:t>
            </w:r>
          </w:p>
        </w:tc>
        <w:tc>
          <w:tcPr>
            <w:tcW w:w="0" w:type="auto"/>
            <w:vAlign w:val="center"/>
            <w:hideMark/>
          </w:tcPr>
          <w:p w14:paraId="0187A1C1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Attribute framework itself under threat</w:t>
            </w:r>
          </w:p>
        </w:tc>
      </w:tr>
      <w:tr w:rsidR="000876D9" w:rsidRPr="000876D9" w14:paraId="62FB9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367A4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Effective legal bottom line</w:t>
            </w:r>
          </w:p>
        </w:tc>
        <w:tc>
          <w:tcPr>
            <w:tcW w:w="0" w:type="auto"/>
            <w:vAlign w:val="center"/>
            <w:hideMark/>
          </w:tcPr>
          <w:p w14:paraId="581BBC8B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C-band DIN ≈ up to ~6.9 mg/L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(anything worse must improve)</w:t>
            </w:r>
          </w:p>
        </w:tc>
        <w:tc>
          <w:tcPr>
            <w:tcW w:w="0" w:type="auto"/>
            <w:vAlign w:val="center"/>
            <w:hideMark/>
          </w:tcPr>
          <w:p w14:paraId="3B1D02A7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National bottom lines proposed to be removed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leaving councils with weaker or no enforceable limits</w:t>
            </w:r>
          </w:p>
        </w:tc>
      </w:tr>
      <w:tr w:rsidR="000876D9" w:rsidRPr="000876D9" w14:paraId="3FD1E1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88242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2.5 mg/L DIN</w:t>
            </w:r>
          </w:p>
        </w:tc>
        <w:tc>
          <w:tcPr>
            <w:tcW w:w="0" w:type="auto"/>
            <w:vAlign w:val="center"/>
            <w:hideMark/>
          </w:tcPr>
          <w:p w14:paraId="6C4A15C9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Scientific aspiration only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(ecological harm rises above ~2–3 mg/L) – </w:t>
            </w:r>
            <w:r w:rsidRPr="000876D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not enforceable</w:t>
            </w:r>
          </w:p>
        </w:tc>
        <w:tc>
          <w:tcPr>
            <w:tcW w:w="0" w:type="auto"/>
            <w:vAlign w:val="center"/>
            <w:hideMark/>
          </w:tcPr>
          <w:p w14:paraId="7132AADD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adopted; often dismissed as unrealistic</w:t>
            </w:r>
          </w:p>
        </w:tc>
      </w:tr>
      <w:tr w:rsidR="000876D9" w:rsidRPr="000876D9" w14:paraId="04FB08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06B9A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mg/L DIN</w:t>
            </w:r>
          </w:p>
        </w:tc>
        <w:tc>
          <w:tcPr>
            <w:tcW w:w="0" w:type="auto"/>
            <w:vAlign w:val="center"/>
            <w:hideMark/>
          </w:tcPr>
          <w:p w14:paraId="7DECEE93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Never set by Labour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as a national limit</w:t>
            </w:r>
          </w:p>
        </w:tc>
        <w:tc>
          <w:tcPr>
            <w:tcW w:w="0" w:type="auto"/>
            <w:vAlign w:val="center"/>
            <w:hideMark/>
          </w:tcPr>
          <w:p w14:paraId="05897285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Sometimes floated rhetorically as a “compromise”, but not formally adopted</w:t>
            </w:r>
          </w:p>
        </w:tc>
      </w:tr>
      <w:tr w:rsidR="000876D9" w:rsidRPr="000876D9" w14:paraId="5BBF3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642A1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Farm nitrogen controls</w:t>
            </w:r>
          </w:p>
        </w:tc>
        <w:tc>
          <w:tcPr>
            <w:tcW w:w="0" w:type="auto"/>
            <w:vAlign w:val="center"/>
            <w:hideMark/>
          </w:tcPr>
          <w:p w14:paraId="2CE6D383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Synthetic nitrogen </w:t>
            </w:r>
            <w:proofErr w:type="spellStart"/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fertiliser</w:t>
            </w:r>
            <w:proofErr w:type="spellEnd"/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cap (190 kg N/ha/yr)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Freshwater Farm Plans</w:t>
            </w:r>
          </w:p>
        </w:tc>
        <w:tc>
          <w:tcPr>
            <w:tcW w:w="0" w:type="auto"/>
            <w:vAlign w:val="center"/>
            <w:hideMark/>
          </w:tcPr>
          <w:p w14:paraId="2E4D04D5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Under review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with pressure to weaken or repeal</w:t>
            </w:r>
          </w:p>
        </w:tc>
      </w:tr>
      <w:tr w:rsidR="000876D9" w:rsidRPr="000876D9" w14:paraId="7F0860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C686E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Regional Land &amp; Water Plans</w:t>
            </w:r>
          </w:p>
        </w:tc>
        <w:tc>
          <w:tcPr>
            <w:tcW w:w="0" w:type="auto"/>
            <w:vAlign w:val="center"/>
            <w:hideMark/>
          </w:tcPr>
          <w:p w14:paraId="727F17A7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Required under NPS-FM to give effect to national standards</w:t>
            </w:r>
          </w:p>
        </w:tc>
        <w:tc>
          <w:tcPr>
            <w:tcW w:w="0" w:type="auto"/>
            <w:vAlign w:val="center"/>
            <w:hideMark/>
          </w:tcPr>
          <w:p w14:paraId="10BB5DC1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Explicit intent to end or override regional land &amp; water plans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centralising</w:t>
            </w:r>
            <w:proofErr w:type="spellEnd"/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decision-making</w:t>
            </w:r>
          </w:p>
        </w:tc>
      </w:tr>
      <w:tr w:rsidR="000876D9" w:rsidRPr="000876D9" w14:paraId="69DEA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647F9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Environmental Legal Assistance Grants (ELAG)</w:t>
            </w:r>
          </w:p>
        </w:tc>
        <w:tc>
          <w:tcPr>
            <w:tcW w:w="0" w:type="auto"/>
            <w:vAlign w:val="center"/>
            <w:hideMark/>
          </w:tcPr>
          <w:p w14:paraId="77B421F3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Funded and available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enable public interest litigation</w:t>
            </w:r>
          </w:p>
        </w:tc>
        <w:tc>
          <w:tcPr>
            <w:tcW w:w="0" w:type="auto"/>
            <w:vAlign w:val="center"/>
            <w:hideMark/>
          </w:tcPr>
          <w:p w14:paraId="54876947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Ended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reducing access to justice for communities and NGOs</w:t>
            </w:r>
          </w:p>
        </w:tc>
      </w:tr>
      <w:tr w:rsidR="000876D9" w:rsidRPr="000876D9" w14:paraId="6F863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C68B2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Ministry for the Environment (</w:t>
            </w:r>
            <w:proofErr w:type="spellStart"/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MfE</w:t>
            </w:r>
            <w:proofErr w:type="spellEnd"/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17947C3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Policy, science, and implementation capacity maintained (though stretched)</w:t>
            </w:r>
          </w:p>
        </w:tc>
        <w:tc>
          <w:tcPr>
            <w:tcW w:w="0" w:type="auto"/>
            <w:vAlign w:val="center"/>
            <w:hideMark/>
          </w:tcPr>
          <w:p w14:paraId="74C2C82C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~300 </w:t>
            </w:r>
            <w:proofErr w:type="spellStart"/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MfE</w:t>
            </w:r>
            <w:proofErr w:type="spellEnd"/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staff cut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significantly weakening regulatory, scientific, and enforcement capacity</w:t>
            </w:r>
          </w:p>
        </w:tc>
      </w:tr>
      <w:tr w:rsidR="000876D9" w:rsidRPr="000876D9" w14:paraId="31C0A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F59F3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Role of regional government</w:t>
            </w:r>
          </w:p>
        </w:tc>
        <w:tc>
          <w:tcPr>
            <w:tcW w:w="0" w:type="auto"/>
            <w:vAlign w:val="center"/>
            <w:hideMark/>
          </w:tcPr>
          <w:p w14:paraId="070A75C1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Councils required to implement national freshwater bottom lines</w:t>
            </w:r>
          </w:p>
        </w:tc>
        <w:tc>
          <w:tcPr>
            <w:tcW w:w="0" w:type="auto"/>
            <w:vAlign w:val="center"/>
            <w:hideMark/>
          </w:tcPr>
          <w:p w14:paraId="3754229D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Councils constrained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prevented from exceeding national rules, or stripped of planning roles</w:t>
            </w:r>
          </w:p>
        </w:tc>
      </w:tr>
      <w:tr w:rsidR="000876D9" w:rsidRPr="000876D9" w14:paraId="7E981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7C97B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Underlying policy logic</w:t>
            </w:r>
          </w:p>
        </w:tc>
        <w:tc>
          <w:tcPr>
            <w:tcW w:w="0" w:type="auto"/>
            <w:vAlign w:val="center"/>
            <w:hideMark/>
          </w:tcPr>
          <w:p w14:paraId="6DC94C06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“Allow degradation to stop now; improve over time” (restoration promise)</w:t>
            </w:r>
          </w:p>
        </w:tc>
        <w:tc>
          <w:tcPr>
            <w:tcW w:w="0" w:type="auto"/>
            <w:vAlign w:val="center"/>
            <w:hideMark/>
          </w:tcPr>
          <w:p w14:paraId="5E7661F0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“Reduce regulatory burden and cost to land users”</w:t>
            </w:r>
          </w:p>
        </w:tc>
      </w:tr>
      <w:tr w:rsidR="000876D9" w:rsidRPr="000876D9" w14:paraId="4E45F9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DEAE8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Who bears risk</w:t>
            </w:r>
          </w:p>
        </w:tc>
        <w:tc>
          <w:tcPr>
            <w:tcW w:w="0" w:type="auto"/>
            <w:vAlign w:val="center"/>
            <w:hideMark/>
          </w:tcPr>
          <w:p w14:paraId="1B9983A6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Ecosystems and downstream communities (with future improvement promised)</w:t>
            </w:r>
          </w:p>
        </w:tc>
        <w:tc>
          <w:tcPr>
            <w:tcW w:w="0" w:type="auto"/>
            <w:vAlign w:val="center"/>
            <w:hideMark/>
          </w:tcPr>
          <w:p w14:paraId="6B5C4813" w14:textId="77777777" w:rsidR="000876D9" w:rsidRPr="000876D9" w:rsidRDefault="000876D9" w:rsidP="000876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6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Ecosystems, drinking water, and democratic participation</w:t>
            </w:r>
            <w:r w:rsidRPr="000876D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with fewer legal and institutional safeguards</w:t>
            </w:r>
          </w:p>
        </w:tc>
      </w:tr>
    </w:tbl>
    <w:p w14:paraId="720AE543" w14:textId="77777777" w:rsidR="000876D9" w:rsidRDefault="000876D9"/>
    <w:sectPr w:rsidR="00087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D9"/>
    <w:rsid w:val="000876D9"/>
    <w:rsid w:val="00C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60FB"/>
  <w15:chartTrackingRefBased/>
  <w15:docId w15:val="{602C293C-A9DA-EA41-9FA1-8086917F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7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D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876D9"/>
    <w:rPr>
      <w:b/>
      <w:bCs/>
    </w:rPr>
  </w:style>
  <w:style w:type="character" w:styleId="Emphasis">
    <w:name w:val="Emphasis"/>
    <w:basedOn w:val="DefaultParagraphFont"/>
    <w:uiPriority w:val="20"/>
    <w:qFormat/>
    <w:rsid w:val="00087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cravens</dc:creator>
  <cp:keywords/>
  <dc:description/>
  <cp:lastModifiedBy>casey cravens</cp:lastModifiedBy>
  <cp:revision>1</cp:revision>
  <dcterms:created xsi:type="dcterms:W3CDTF">2026-01-18T04:43:00Z</dcterms:created>
  <dcterms:modified xsi:type="dcterms:W3CDTF">2026-01-18T04:44:00Z</dcterms:modified>
</cp:coreProperties>
</file>